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Centra</w:t>
      </w:r>
      <w:r>
        <w:rPr>
          <w:b w:val="0"/>
          <w:bCs w:val="0"/>
          <w:spacing w:val="0"/>
          <w:w w:val="100"/>
        </w:rPr>
        <w:t>l»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6511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2.1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Newmarke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15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Metropolitan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Basi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floo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are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ratio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129" w:val="left" w:leader="none"/>
        </w:tabs>
        <w:spacing w:before="79"/>
        <w:ind w:left="1129" w:right="0" w:hanging="5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multiplied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ratio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GFA: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Basi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Newmarket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4:1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Bonu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floo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area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51"/>
        <w:ind w:left="1075" w:right="47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achieve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multiplyin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28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Bonu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element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Bonu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Undergroun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1:1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Through­sit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2:1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2:1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7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(calculate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1.1.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(calculate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1.2.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ratio: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Newmarket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5:1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bonus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1.2.1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1.2.2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3" w:val="left" w:leader="none"/>
        </w:tabs>
        <w:spacing w:before="73"/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Maximu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4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20"/>
        <w:jc w:val="left"/>
      </w:pP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Street.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1"/>
        <w:ind w:left="1075" w:right="116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215­21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Broadway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envelop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45­degre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recessio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point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15.0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level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Street.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3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19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45­degre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recessio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1.3.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north­west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closest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Street.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corner,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Street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20.0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constructed.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1.3.1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1.3.2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2.1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exercis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Bonu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basemen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parking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link.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Basement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bonus.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lane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through­site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87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widt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5m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876"/>
        <w:jc w:val="left"/>
      </w:pP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logical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876"/>
        <w:jc w:val="left"/>
      </w:pPr>
      <w:r>
        <w:rPr>
          <w:b w:val="0"/>
          <w:bCs w:val="0"/>
          <w:spacing w:val="0"/>
          <w:w w:val="100"/>
        </w:rPr>
        <w:t>connec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glazing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876"/>
        <w:jc w:val="left"/>
      </w:pP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lane: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83" w:space="40"/>
            <w:col w:w="8317"/>
          </w:cols>
        </w:sectPr>
      </w:pP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spacing w:before="51"/>
        <w:ind w:left="2425" w:right="0" w:hanging="375"/>
        <w:jc w:val="left"/>
      </w:pP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spacing w:line="296" w:lineRule="auto"/>
        <w:ind w:left="2425" w:right="279" w:hanging="37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frontag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entire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entrances,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window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balcony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recesses,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architectural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modulations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ways.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ceilin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4m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blan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4m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spacing w:line="296" w:lineRule="auto"/>
        <w:ind w:left="2425" w:right="399" w:hanging="375"/>
        <w:jc w:val="left"/>
      </w:pP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window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facade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4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ind w:left="267" w:right="0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68" w:space="40"/>
            <w:col w:w="8332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79"/>
        <w:ind w:left="1525" w:right="204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bonus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through­site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regarded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6m.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link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through­sit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should: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87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widt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5m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876"/>
        <w:jc w:val="left"/>
      </w:pP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logical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876"/>
        <w:jc w:val="left"/>
      </w:pPr>
      <w:r>
        <w:rPr>
          <w:b w:val="0"/>
          <w:bCs w:val="0"/>
          <w:spacing w:val="0"/>
          <w:w w:val="100"/>
        </w:rPr>
        <w:t>connec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5m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129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separated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walls,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shops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shop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83" w:space="40"/>
            <w:col w:w="831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520"/>
        </w:sectPr>
      </w:pPr>
    </w:p>
    <w:p>
      <w:pPr>
        <w:pStyle w:val="BodyText"/>
        <w:spacing w:before="79"/>
        <w:ind w:left="0" w:right="0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6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frontage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520"/>
          <w:cols w:num="2" w:equalWidth="0">
            <w:col w:w="1668" w:space="40"/>
            <w:col w:w="8052"/>
          </w:cols>
        </w:sectPr>
      </w:pP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spacing w:before="51"/>
        <w:ind w:left="2425" w:right="0" w:hanging="37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blan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4m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4"/>
        </w:numPr>
        <w:tabs>
          <w:tab w:pos="2424" w:val="left" w:leader="none"/>
        </w:tabs>
        <w:spacing w:line="296" w:lineRule="auto"/>
        <w:ind w:left="2425" w:right="119" w:hanging="375"/>
        <w:jc w:val="left"/>
      </w:pP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window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facade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52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-5"/>
          <w:w w:val="100"/>
        </w:rPr>
        <w:t>vii.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ind w:left="264" w:right="0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520"/>
          <w:cols w:num="2" w:equalWidth="0">
            <w:col w:w="1671" w:space="40"/>
            <w:col w:w="8049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bonus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through­site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5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0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0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520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2.11: Newmarket 1</dc:title>
  <dc:creator>Auckland Council</dc:creator>
  <dcterms:created xsi:type="dcterms:W3CDTF">2014-06-03T14:39:05Z</dcterms:created>
  <dcterms:modified xsi:type="dcterms:W3CDTF">2014-06-03T14:39:05Z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